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2"/>
          <w:szCs w:val="40"/>
        </w:rPr>
      </w:pPr>
      <w:r>
        <w:rPr>
          <w:rFonts w:ascii="Verdana" w:hAnsi="Verdana" w:eastAsia="Verdana" w:cs="Verdana"/>
          <w:b/>
          <w:bCs/>
          <w:i w:val="0"/>
          <w:iCs w:val="0"/>
          <w:caps w:val="0"/>
          <w:color w:val="auto"/>
          <w:spacing w:val="0"/>
          <w:sz w:val="24"/>
          <w:szCs w:val="24"/>
        </w:rPr>
        <w:t>内科学攻读硕士学位研究生培养方案</w:t>
      </w:r>
    </w:p>
    <w:tbl>
      <w:tblPr>
        <w:tblW w:w="5000" w:type="pct"/>
        <w:tblInd w:w="0" w:type="dxa"/>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57"/>
        <w:gridCol w:w="2933"/>
        <w:gridCol w:w="1257"/>
        <w:gridCol w:w="838"/>
        <w:gridCol w:w="1048"/>
        <w:gridCol w:w="1048"/>
      </w:tblGrid>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0" w:type="auto"/>
            <w:gridSpan w:val="6"/>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21"/>
                <w:szCs w:val="21"/>
                <w:bdr w:val="none" w:color="auto" w:sz="0" w:space="0"/>
                <w:lang w:val="en-US" w:eastAsia="zh-CN" w:bidi="ar"/>
              </w:rPr>
              <w:t>基本信息</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75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学生类型</w:t>
            </w:r>
          </w:p>
        </w:tc>
        <w:tc>
          <w:tcPr>
            <w:tcW w:w="175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普通硕士</w:t>
            </w:r>
          </w:p>
        </w:tc>
        <w:tc>
          <w:tcPr>
            <w:tcW w:w="75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所属专业</w:t>
            </w:r>
          </w:p>
        </w:tc>
        <w:tc>
          <w:tcPr>
            <w:tcW w:w="1750" w:type="pct"/>
            <w:gridSpan w:val="3"/>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内科学</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75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方案名称</w:t>
            </w:r>
          </w:p>
        </w:tc>
        <w:tc>
          <w:tcPr>
            <w:tcW w:w="175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内科学攻读硕士学位研究生培养方案</w:t>
            </w:r>
          </w:p>
        </w:tc>
        <w:tc>
          <w:tcPr>
            <w:tcW w:w="75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起始时间</w:t>
            </w:r>
          </w:p>
        </w:tc>
        <w:tc>
          <w:tcPr>
            <w:tcW w:w="1750" w:type="pct"/>
            <w:gridSpan w:val="3"/>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2022-07-01</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75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必修学分</w:t>
            </w:r>
          </w:p>
        </w:tc>
        <w:tc>
          <w:tcPr>
            <w:tcW w:w="5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22.0</w:t>
            </w:r>
          </w:p>
        </w:tc>
        <w:tc>
          <w:tcPr>
            <w:tcW w:w="5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总学分</w:t>
            </w:r>
          </w:p>
        </w:tc>
        <w:tc>
          <w:tcPr>
            <w:tcW w:w="5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32.0</w:t>
            </w:r>
          </w:p>
        </w:tc>
        <w:tc>
          <w:tcPr>
            <w:tcW w:w="0" w:type="auto"/>
            <w:shd w:val="clear"/>
            <w:vAlign w:val="center"/>
          </w:tcPr>
          <w:p>
            <w:pPr>
              <w:rPr>
                <w:rFonts w:hint="default" w:ascii="Verdana" w:hAnsi="Verdana" w:eastAsia="Verdana" w:cs="Verdana"/>
                <w:caps w:val="0"/>
                <w:color w:val="auto"/>
                <w:spacing w:val="0"/>
                <w:sz w:val="18"/>
                <w:szCs w:val="18"/>
              </w:rPr>
            </w:pPr>
          </w:p>
        </w:tc>
        <w:tc>
          <w:tcPr>
            <w:tcW w:w="0" w:type="auto"/>
            <w:shd w:val="clear"/>
            <w:vAlign w:val="center"/>
          </w:tcPr>
          <w:p>
            <w:pPr>
              <w:rPr>
                <w:rFonts w:hint="default" w:ascii="Verdana" w:hAnsi="Verdana" w:eastAsia="Verdana" w:cs="Verdana"/>
                <w:caps w:val="0"/>
                <w:color w:val="auto"/>
                <w:spacing w:val="0"/>
                <w:sz w:val="18"/>
                <w:szCs w:val="18"/>
              </w:rPr>
            </w:pPr>
          </w:p>
        </w:tc>
      </w:tr>
    </w:tbl>
    <w:p>
      <w:pPr>
        <w:rPr>
          <w:vanish/>
          <w:color w:val="auto"/>
          <w:sz w:val="24"/>
          <w:szCs w:val="24"/>
        </w:rPr>
      </w:pPr>
    </w:p>
    <w:tbl>
      <w:tblPr>
        <w:tblW w:w="5000" w:type="pct"/>
        <w:tblInd w:w="0" w:type="dxa"/>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81"/>
      </w:tblGrid>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培养目标</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1、培养热爱祖国，拥护中国共产党的领导，思想政治素质高，身体心理素质好，学术科研素质强，遵纪守法，全面发展，有志于为国家为人民奉献的社会主义接班人。 2、培养德智体全面发展，在本专业具有坚实的理论基础和系统的专业知识，熟悉科学研究的基本环节，能够从事本专业教学和科学研究的高层次专门人才，并为进一步深造打下基础。 3、具有严谨的科学态度和敬业精神；注重知识、能力和综合素质的培养。 4、掌握一门外语，有较强的听说读写能力并能熟练地阅读本专业的外文资料。 5、身心健康。</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研究方向</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内科学（传染病） 1. 病毒性肝炎 研究病毒性肝炎的病原学、发病机理、抗病毒治疗等。 2. 流行性出血热 研究肾综合症出血热的病原学、发病机理、诊断和治疗等。 3. 新出现传染病 研究新出现传染病的病原学、发病机制、流行病学、临床诊断及治疗。 内科学（风湿病） 1、 常见风湿性疾病病因与病理生理的研究 1)类风湿关节炎、强直性脊柱炎相关致炎细胞因子的病理生理作用。 2)高尿酸血症和痛风发病机理的研究。 3)系统性红斑狼疮的病因学研究 2、 常见风湿病病理学诊断的研究 1）类风湿关节炎的早期诊断。 2）系统性红斑狼疮并血液学的组织病理学和免疫学研究。 3）系统性血管炎的实验室诊断。 3、常见风湿病临床防治研究 1）中药治疗高尿酸血症和痛风有效成分的提纯、药理学机制的研究。 2）强直性脊柱炎治疗研究。 3）生物制剂治疗炎症性风湿性疾病的临床研究。 内科学（呼吸系病） 1.慢性阻塞性肺病 (1) 分子发病机制 (2) 易感性 (3) 中西医结合治疗的基础及临床研究 2.肺癌 （1）病因及发病机制 （2）早期诊断 （3）多学科综合防治 3. 支气管哮喘 （1）炎性发病机制 （2）综合防治 4. 呼吸系感染性疾病 （1）病原学 （2）耐药机制 内科学（消化系病） 1．功能性胃肠病发病机制 2．消化系肿瘤的早期诊断 3. 肝病的表观遗传分子标志物研究 4. 肝病的诊断和发病机制研究 5．胰腺疾病的诊断和治疗 6. 炎症性肠病的发病机制及治疗 7. 人工智能与消化疾病诊疗 内科学（内分泌与代谢病） 1. 糖尿病 （1） 重点研究遗传因素、环境因素在糖尿病发病机制中的作用，以及基因诊断、治疗的探索。 （2） 慢性并发症的发病机制及治疗。 （3） 糖尿病与再生医学 2. 甲状腺疾病的遗传因素及基因多态性研究及治疗。 3. 肥胖的病因、发病机制及干预治疗。 4. 骨代谢疾病发病机制及干预治疗 5． 其它内分泌、代谢性疾病的遗传学研究及基因治疗。 内科学（肾脏病） 1. 各种原发以及继发肾小球疾病的发病机制、诊断、药物治疗。 2. 肾脏纤维化的机制 3. 急性以及慢性肾衰竭并发症的机制、药物治疗 4. 血液透析治疗方式策略 5. 腹膜透析治疗策略 内科学（心血管病） 1. 冠心病和动脉粥样硬化的发病机制、诊断、药物和介入治疗以及PCI后冠状动脉再狭窄的防治。 2. 高血压病的发病机制和防治措施 3. 心律失常的电生理机制、药物和介入治疗 4. 心力衰竭的发病机制和治疗方法 5. 心肌病的发病机制、诊断和治疗策略 内科学（血液病） 1. 贫血的诊断与治疗：对再生障碍性贫血、难治性贫血、溶血性贫血及其他继发性贫血和造血原料缺乏所致贫血的诊断、治疗及预防策略进行研究。 2. 恶性血液病的诊断与治疗：对骨髓增生异常综合症、急慢性白血病、淋巴瘤、多发性骨髓瘤、恶性组织细胞病等的诊断和治疗措施进行研究。 3. 止血与血栓疾病的诊断与治疗：包括血小板数量、质量异常、凝血因子异常、纤维蛋白溶解系统功能异常及高凝状态与易栓倾向等的诊断与治疗研究。</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培养方式</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硕士研究生的培养采取课程学习和论文研究工作相结合的方式。通过课程学习和论文研究工作，系统掌握所在学科领域的理论知识，培养学生获取知识能力、科学研究能力、实践能力和学术交流能力。硕士研究生的培养实行导师负责与指导小组集体培养相结合的指导方式。导师组由本专业及相关专业3-5名具有讲师以上职称人员组成。</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学习年限</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硕士： 3 年，最长学习年限： 4 年</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应修总学分与课程设置</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硕士：总学分≥32学分，必修学分≥22学分 研究生学分由课程学分和培养环节学分构成。 1. 必修课（学位课）22学分（含培养环节5学分） （1）公共学位课 ①自然辩证法概论 1学分 ②新时代中国特色社会主义理论与实践 2学分 ③第一外国语3学分 （2）专业课 ①专业课 3学分（跟随导师组进行专业基础课和专业课学习。导师组开设的专业课和相关专业基础课，可采取多种形式：①经典著作或文献阅读 ：写出读书报告2篇，由导师或导师小组评定成绩，每篇为1学分。②由本专业组织统一授课，采取课程考试方式 ③由本专业（未统一开课的）命题，组织考试，具体的考试方式由各专业自行决定） ②专业外语2学分（修读培养方案中1门及以上全英语教学必修课程并通过课程考核的，成绩优良，可免修专业外语） ③论文写作与学术规范 1学分 ④学位基础课：（2-3门或5学分及以上） （3）培养环节：前沿讲座 2学分、讨论班1学分、社会实践1学分、海外学分1学分。 2.选修课（非学位课） （1）专业选修课：至少修读不少于2门的专业选修课。 （2）非专业选修课：硕士研究生在学期间须至少修读1门公共选修课或1门跨培养单位选修课。 3.补修课 跨学科或以同等学力考入的研究生须补修本专业本科阶段主干课程1-2门。补修课程成绩必须合格但不记学分。</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培养环节</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前沿讲座,2.0学分</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前沿讲座旨在使研究生熟悉本学科的重要学术理论和前沿性成果，提高研究生参与学术活动的兴趣，提升学术交流能力。前沿讲座由两部分构成，一是要求研究生参与一定数量的学术活动，包括各类学术论坛、学术讲座、学术会议等；二是要求研究生主讲一定数量的前沿讲座。前沿讲座应贯穿研究生培养的整个过程。 （1）参加学术讲座或学术讨论会1.0学分 参加学院或学校组织的学术讲座 0.1学分/次 参加省级以上学术会议 0.2学分/次 （2）综述报告或研究进展报告 1.0学分 要求硕士生在读期间做综述或课题报告 4次，其中至少在学科或医学院研究生论坛报告1次。 在本学科做综述或研究报告 0.3学分/次 在医学院研究生论坛做综述或研究报告 0.4学分/次 在省级以上学会做综述或报告 0.6学分/次 国际学术会议做研究报告 1学分/次</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讨论班,1.0学分</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讨论班指一定范围内的研究生在指导者的引导下围绕特定主题进行研讨，一般以研究方向或课题组为单位设立。讨论班定期举行，每期有明确的主题，要求研究生充分参与讨论，展开学术争鸣。讨论班是一种极具研究强度的学习形式，旨在通过参与者的直接交流和思想碰撞，以开拓思维，激发创新，养成研究生独立从事科学研究的能力；讨论班同时也是一种学术指导形式，鼓励导师或导师组依托讨论班对研究生进行有效的学术指导。 硕士研究生自第三学期，应至少每两周参加一次讨论班。每次讨论班应有完整记录（主持人/组织者签字、参加人员名单、讨论主题,考核成绩）</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社会实践,1.0学分</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临床医学专业攻读硕士学位研究生（学术型）必须参加不少于6个月的临床实践。临床实践阶段按课程形式进行设置，由导师组负责安排在二级学科内相关科室轮转。 硕士研究生的临床实践安排（时间、科室）确定后需提交各培养单位教育处备案。临床实践由轮转科室及导师组负责考核评估（实践课成绩≥70分为合格），医院负责进行检查。临床实践不合格者不能毕业。</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海外学分,1.0学分</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计1学分，海外学分是学术学位研究生的必修环节。硕士研究生海外学分的认定主要包括：参加境内外举办的国际化高端论坛和学术会议等高水平学术活动；参加海外联合培养；参与国际合作研究；参加海外课程学习（不包括国内全英文课程学习）；参加校内有国际化元素的研究生暑期学校、学术报告等</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三助一辅,0.0学分</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不计学分，研究生在各学位攻读阶段应参加“三助一辅”工作。各学科在制定培养方案时应遵循“培养功能为主，其他功能为辅”“把劳动教育纳入人才培养全过程”的原则，将“三助一辅”工作要求与培养目标和学位基本要求相结合，发挥育人合力，助推研究生培养质量提升。具体按照《山东大学研究生助研、助教、助管和学生辅导员助理工作管理办法（修订）》山大研字【2019】67号）执行。</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入学教育,0.0学分</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不计学分，研究生入学后修读《研究生基本素养》通识课，为必修环节。培养单位围绕加强新时代爱国主义和校情院情、培养管理、校规校纪、学术素养、安全和公寓文化、心理健康等教育内容科学设置课程、课时。</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预答辩,0.0学分</w:t>
            </w:r>
            <w:r>
              <w:rPr>
                <w:rFonts w:hint="default" w:ascii="Verdana" w:hAnsi="Verdana" w:eastAsia="Verdana" w:cs="Verdana"/>
                <w:caps w:val="0"/>
                <w:color w:val="auto"/>
                <w:spacing w:val="0"/>
                <w:kern w:val="0"/>
                <w:sz w:val="18"/>
                <w:szCs w:val="18"/>
                <w:bdr w:val="none" w:color="auto" w:sz="0" w:space="0"/>
                <w:lang w:val="en-US" w:eastAsia="zh-CN" w:bidi="ar"/>
              </w:rPr>
              <w:br w:type="textWrapping"/>
            </w:r>
            <w:r>
              <w:rPr>
                <w:rFonts w:hint="default" w:ascii="Verdana" w:hAnsi="Verdana" w:eastAsia="Verdana" w:cs="Verdana"/>
                <w:caps w:val="0"/>
                <w:color w:val="auto"/>
                <w:spacing w:val="0"/>
                <w:kern w:val="0"/>
                <w:sz w:val="18"/>
                <w:szCs w:val="18"/>
                <w:bdr w:val="none" w:color="auto" w:sz="0" w:space="0"/>
                <w:lang w:val="en-US" w:eastAsia="zh-CN" w:bidi="ar"/>
              </w:rPr>
              <w:t>在提交学位论文答辩申请前1个月，由学院学位评定分委员会组织进行公开预答辩。预答辩委员会成员对硕士学位论文进行严格、认真的审查，详细指出论文中存在的不足和问题，提出改进意见。预答辩所有要求（包括程序、时间）与正式答辩相同，有关预答辩工作按研究生院相关规定执行。</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中期考核</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硕士研究生实行中期筛选制度，具体按学校有关规定执行。中期筛选在第四学期完成，内容包括：思想表现、科研能力、论文设计与准备及身体健康状况等。考核合格者进入硕士论文研究与写作阶段；考核不合格者，按学校有关规定处理。</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科学研究与学位论文</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1. 科研时间：硕士研究生从事科学研究或学位论文工作的时间不少于一年半。2.开题前必须完成对不少于30篇相关文献的综述，由导师组3位及以上成员进行审核，并给出评定、备案。 开题报告必须在本学科或相关学科范围内公开进行，由学科负责人或导师（指导小组负责人）组织3～5名相关学科专家对开题报告进行评议。开题报告内容包括选题的目的、依据，目前国内外进展的状况，研究的基本内容，采用的方法与手段，预期达到的水平，科研的条件，可能出现的问题及解决的方法，进度安排，与本课题有关的工作积累、已有的研究工作成绩；经费预算等。开题委员会专家对上述汇报给予评议，开题报告要求有文字记录备案。3.硕士研究生实行中期筛选制度，具体按学校有关规定执行。中期筛选在第四学期完成，内容包括：思想表现、科研能力、论文设计与准备及身体健康状况等。考核合格者进入硕士论文研究与写作阶段；考核不合格者，按学校有关规定处理。4.在提交学位论文答辩申请前1个月，由学院学位评定分委员会组织进行公开预答辩。预答辩委员会成员对硕士学位论文进行严格、认真的审查，详细指出论文中存在的不足和问题，提出改进意见。预答辩所有要求（包括程序、时间）与正式答辩相同，有关预答辩工作按研究生院相关规定执行。5.学位论文是用于申请硕士学位、博士学位的最终创新成果，并作为学位评定的主要依据，应由申请学位的研究生在学期间在导师（组）指导下独立完成并具备完整形式。最终创新成果评价实行匿名评审制。</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b/>
                <w:bCs/>
                <w:caps w:val="0"/>
                <w:color w:val="auto"/>
                <w:spacing w:val="0"/>
                <w:kern w:val="0"/>
                <w:sz w:val="18"/>
                <w:szCs w:val="18"/>
                <w:bdr w:val="none" w:color="auto" w:sz="0" w:space="0"/>
                <w:lang w:val="en-US" w:eastAsia="zh-CN" w:bidi="ar"/>
              </w:rPr>
              <w:t>毕业及学位授予</w:t>
            </w:r>
          </w:p>
        </w:tc>
      </w:tr>
      <w:tr>
        <w:tblPrEx>
          <w:tblBorders>
            <w:top w:val="single" w:color="336699" w:sz="6" w:space="0"/>
            <w:left w:val="single" w:color="336699" w:sz="6"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5000" w:type="pct"/>
            <w:tcBorders>
              <w:bottom w:val="single" w:color="336699" w:sz="6" w:space="0"/>
              <w:right w:val="single" w:color="336699" w:sz="6" w:space="0"/>
            </w:tcBorders>
            <w:shd w:val="clear"/>
            <w:tcMar>
              <w:left w:w="60" w:type="dxa"/>
            </w:tcMar>
            <w:vAlign w:val="center"/>
          </w:tcPr>
          <w:p>
            <w:pPr>
              <w:keepNext w:val="0"/>
              <w:keepLines w:val="0"/>
              <w:widowControl/>
              <w:suppressLineNumbers w:val="0"/>
              <w:wordWrap w:val="0"/>
              <w:spacing w:line="360" w:lineRule="atLeast"/>
              <w:ind w:left="0" w:firstLine="0"/>
              <w:jc w:val="left"/>
              <w:rPr>
                <w:rFonts w:hint="default" w:ascii="Verdana" w:hAnsi="Verdana" w:eastAsia="Verdana" w:cs="Verdana"/>
                <w:caps w:val="0"/>
                <w:color w:val="auto"/>
                <w:spacing w:val="0"/>
                <w:sz w:val="18"/>
                <w:szCs w:val="18"/>
              </w:rPr>
            </w:pPr>
            <w:r>
              <w:rPr>
                <w:rFonts w:hint="default" w:ascii="Verdana" w:hAnsi="Verdana" w:eastAsia="Verdana" w:cs="Verdana"/>
                <w:caps w:val="0"/>
                <w:color w:val="auto"/>
                <w:spacing w:val="0"/>
                <w:kern w:val="0"/>
                <w:sz w:val="18"/>
                <w:szCs w:val="18"/>
                <w:bdr w:val="none" w:color="auto" w:sz="0" w:space="0"/>
                <w:lang w:val="en-US" w:eastAsia="zh-CN" w:bidi="ar"/>
              </w:rPr>
              <w:t>在读期间以第一作者（山东大学为首位作者第一单位和通讯作者第一单位，联合培养研究生按照学校相关规定执行）在山东大学认可的核心刊物（详见山东大学核心期刊目录及SCI目录http://www.qlyxgrad.sdu.edu.cn/info/1007/2853.htm）上发表与学位论文研究相关的研究型论著（不含文献综述、meta分析和摘要等）1篇及以上，或参与发表与学位论文相关的SCIE论文（作者位次须在前三位，且论文的首位作者、通讯作者及学位申请人作者单位均须为山东大学，不含综述、摘要）。</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lang w:val="en-US" w:eastAsia="zh-CN"/>
        </w:rPr>
      </w:pPr>
      <w:r>
        <w:rPr>
          <w:rFonts w:hint="eastAsia"/>
          <w:color w:val="auto"/>
          <w:lang w:val="en-US" w:eastAsia="zh-CN"/>
        </w:rPr>
        <w:t>附件：课程</w:t>
      </w:r>
    </w:p>
    <w:tbl>
      <w:tblPr>
        <w:tblW w:w="76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225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tcBorders>
              <w:top w:val="single" w:color="336699" w:sz="8" w:space="0"/>
              <w:left w:val="single" w:color="336699" w:sz="8" w:space="0"/>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类别</w:t>
            </w:r>
          </w:p>
        </w:tc>
        <w:tc>
          <w:tcPr>
            <w:tcW w:w="1080" w:type="dxa"/>
            <w:tcBorders>
              <w:top w:val="single" w:color="336699" w:sz="8" w:space="0"/>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序号</w:t>
            </w:r>
          </w:p>
        </w:tc>
        <w:tc>
          <w:tcPr>
            <w:tcW w:w="2250" w:type="dxa"/>
            <w:tcBorders>
              <w:top w:val="single" w:color="336699" w:sz="8" w:space="0"/>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课程名</w:t>
            </w:r>
          </w:p>
        </w:tc>
        <w:tc>
          <w:tcPr>
            <w:tcW w:w="1080" w:type="dxa"/>
            <w:tcBorders>
              <w:top w:val="single" w:color="336699" w:sz="8" w:space="0"/>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开课学期</w:t>
            </w:r>
          </w:p>
        </w:tc>
        <w:tc>
          <w:tcPr>
            <w:tcW w:w="1080" w:type="dxa"/>
            <w:tcBorders>
              <w:top w:val="single" w:color="336699" w:sz="8" w:space="0"/>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总学时</w:t>
            </w:r>
          </w:p>
        </w:tc>
        <w:tc>
          <w:tcPr>
            <w:tcW w:w="1080" w:type="dxa"/>
            <w:tcBorders>
              <w:top w:val="single" w:color="336699" w:sz="8" w:space="0"/>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restart"/>
            <w:tcBorders>
              <w:top w:val="nil"/>
              <w:left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kern w:val="0"/>
                <w:sz w:val="18"/>
                <w:szCs w:val="18"/>
                <w:u w:val="none"/>
                <w:bdr w:val="none" w:color="auto" w:sz="0" w:space="0"/>
                <w:lang w:val="en-US" w:eastAsia="zh-CN" w:bidi="ar"/>
              </w:rPr>
            </w:pPr>
            <w:r>
              <w:rPr>
                <w:rFonts w:hint="default" w:ascii="Verdana" w:hAnsi="Verdana" w:eastAsia="宋体" w:cs="Verdana"/>
                <w:i w:val="0"/>
                <w:iCs w:val="0"/>
                <w:color w:val="auto"/>
                <w:kern w:val="0"/>
                <w:sz w:val="18"/>
                <w:szCs w:val="18"/>
                <w:u w:val="none"/>
                <w:bdr w:val="none" w:color="auto" w:sz="0" w:space="0"/>
                <w:lang w:val="en-US" w:eastAsia="zh-CN" w:bidi="ar"/>
              </w:rPr>
              <w:t>必</w:t>
            </w:r>
          </w:p>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lang w:val="en-US" w:eastAsia="zh-CN" w:bidi="ar"/>
              </w:rPr>
              <w:t>修</w:t>
            </w:r>
          </w:p>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lang w:val="en-US" w:eastAsia="zh-CN" w:bidi="ar"/>
              </w:rPr>
              <w:t>课</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生物大分子与分子生物学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细胞生物学研究进展</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医学分子免疫学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内科学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第四学期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54</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5</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专业外语</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第四学期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6</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论文写作与学术规范</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第二学期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7</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自然辩证法概论</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18</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8</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新时代中国特色社会主义理论与实践</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080" w:type="dxa"/>
            <w:vMerge w:val="continue"/>
            <w:tcBorders>
              <w:left w:val="single" w:color="336699" w:sz="8" w:space="0"/>
              <w:bottom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9</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第一外国语（英）</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108</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nil"/>
              <w:left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kern w:val="0"/>
                <w:sz w:val="18"/>
                <w:szCs w:val="18"/>
                <w:u w:val="none"/>
                <w:bdr w:val="none" w:color="auto" w:sz="0" w:space="0"/>
                <w:lang w:val="en-US" w:eastAsia="zh-CN" w:bidi="ar"/>
              </w:rPr>
            </w:pPr>
            <w:r>
              <w:rPr>
                <w:rFonts w:hint="default" w:ascii="Verdana" w:hAnsi="Verdana" w:eastAsia="宋体" w:cs="Verdana"/>
                <w:i w:val="0"/>
                <w:iCs w:val="0"/>
                <w:color w:val="auto"/>
                <w:kern w:val="0"/>
                <w:sz w:val="18"/>
                <w:szCs w:val="18"/>
                <w:u w:val="none"/>
                <w:bdr w:val="none" w:color="auto" w:sz="0" w:space="0"/>
                <w:lang w:val="en-US" w:eastAsia="zh-CN" w:bidi="ar"/>
              </w:rPr>
              <w:t>选</w:t>
            </w:r>
          </w:p>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lang w:val="en-US" w:eastAsia="zh-CN" w:bidi="ar"/>
              </w:rPr>
              <w:t>修</w:t>
            </w:r>
          </w:p>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lang w:val="en-US" w:eastAsia="zh-CN" w:bidi="ar"/>
              </w:rPr>
              <w:t>课</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肿瘤病理学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腹部影像诊断学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胸部影像诊断学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30</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危重病医学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30</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5</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干细胞研究进展</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6</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复杂疾病易感基因的鉴定与统计分析方法</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30</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7</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人类分子遗传学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8</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医学分子病毒学与细菌学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9</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临床免疫学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10</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临床心脏病学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11</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医学细胞遗传学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第二学期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12</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免疫学相关研究技术</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48</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13</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科研基本训练专题讲座</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24</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14</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实验动物学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15</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血液系统恶性疾病的发病机制、诊断及治疗进展</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16</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医学分子生物学实验技术</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第二学期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24</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17</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神经培养技术</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18</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细胞生物学技术</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19</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实验病理学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20</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心脑血管药理学前沿与进展</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9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21</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疾病相关基因功能研究策略和方法</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48</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22</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代谢及内分泌疾病的分子基础</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23</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基因组学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24</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实验室安全与防护</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24</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25</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多模态分子影像基础与进展</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60</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26</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细胞功能异常与疾病</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27</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断层影像解剖学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72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28</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生物医学导论</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64</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29</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病原学进展</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第二学期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30</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卫生法学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第二学期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48</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31</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基因功能研究</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第二学期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肝硬化门脉高压热点问题解读</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33</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线粒体医学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34</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脑血管病</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第二学期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35</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急诊医学的基础与前沿</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心肺功能监测与支持设备</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37</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内镜外科学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38</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血液免疫学：从基础到临床</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39</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精准肿瘤学病例分析</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40</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肿瘤精准治疗学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48</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41</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因果推断</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第二学期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64</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42</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生存与纵向数据分析</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第二学期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64</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43</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医学文献检索</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第二学期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44</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医学统计学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72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45</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医学数据分析的SPSS软件实现</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第二学期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52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46</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妇科内分泌与生殖医学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47</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风湿免疫学新进展及临床实践</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48</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中药的毒与安全性</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49</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消化系统疾病的中药药理研究与应用</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16</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continue"/>
            <w:tcBorders>
              <w:left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50</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肿瘤细胞治疗及造血干细胞移植</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left w:val="single" w:color="336699" w:sz="8" w:space="0"/>
              <w:bottom w:val="single" w:color="336699" w:sz="8" w:space="0"/>
              <w:right w:val="single" w:color="336699" w:sz="8" w:space="0"/>
            </w:tcBorders>
            <w:shd w:val="clear" w:color="auto" w:fill="FFFFFF"/>
            <w:noWrap/>
            <w:vAlign w:val="center"/>
          </w:tcPr>
          <w:p>
            <w:pPr>
              <w:rPr>
                <w:rFonts w:hint="eastAsia" w:ascii="宋体" w:hAnsi="宋体" w:eastAsia="宋体" w:cs="宋体"/>
                <w:i w:val="0"/>
                <w:iCs w:val="0"/>
                <w:color w:val="auto"/>
                <w:sz w:val="22"/>
                <w:szCs w:val="22"/>
                <w:u w:val="none"/>
              </w:rPr>
            </w:pP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51</w:t>
            </w:r>
          </w:p>
        </w:tc>
        <w:tc>
          <w:tcPr>
            <w:tcW w:w="225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fldChar w:fldCharType="begin"/>
            </w:r>
            <w:r>
              <w:rPr>
                <w:rFonts w:hint="default" w:ascii="Verdana" w:hAnsi="Verdana" w:eastAsia="宋体" w:cs="Verdana"/>
                <w:i w:val="0"/>
                <w:iCs w:val="0"/>
                <w:color w:val="auto"/>
                <w:kern w:val="0"/>
                <w:sz w:val="18"/>
                <w:szCs w:val="18"/>
                <w:u w:val="none"/>
                <w:bdr w:val="none" w:color="auto" w:sz="0" w:space="0"/>
                <w:lang w:val="en-US" w:eastAsia="zh-CN" w:bidi="ar"/>
              </w:rPr>
              <w:instrText xml:space="preserve"> HYPERLINK "https://gradms.sdu.edu.cn/cultivatenew/javascript:void(0);" \o "https://gradms.sdu.edu.cn/cultivatenew/javascript:void(0);" </w:instrText>
            </w:r>
            <w:r>
              <w:rPr>
                <w:rFonts w:hint="default" w:ascii="Verdana" w:hAnsi="Verdana" w:eastAsia="宋体" w:cs="Verdana"/>
                <w:i w:val="0"/>
                <w:iCs w:val="0"/>
                <w:color w:val="auto"/>
                <w:kern w:val="0"/>
                <w:sz w:val="18"/>
                <w:szCs w:val="18"/>
                <w:u w:val="none"/>
                <w:bdr w:val="none" w:color="auto" w:sz="0" w:space="0"/>
                <w:lang w:val="en-US" w:eastAsia="zh-CN" w:bidi="ar"/>
              </w:rPr>
              <w:fldChar w:fldCharType="separate"/>
            </w:r>
            <w:r>
              <w:rPr>
                <w:rStyle w:val="4"/>
                <w:rFonts w:hint="default" w:ascii="Verdana" w:hAnsi="Verdana" w:eastAsia="宋体" w:cs="Verdana"/>
                <w:i w:val="0"/>
                <w:iCs w:val="0"/>
                <w:color w:val="auto"/>
                <w:sz w:val="18"/>
                <w:szCs w:val="18"/>
                <w:u w:val="none"/>
                <w:bdr w:val="none" w:color="auto" w:sz="0" w:space="0"/>
              </w:rPr>
              <w:t>危重病医学</w:t>
            </w:r>
            <w:r>
              <w:rPr>
                <w:rFonts w:hint="default" w:ascii="Verdana" w:hAnsi="Verdana" w:eastAsia="宋体" w:cs="Verdana"/>
                <w:i w:val="0"/>
                <w:iCs w:val="0"/>
                <w:color w:val="auto"/>
                <w:kern w:val="0"/>
                <w:sz w:val="18"/>
                <w:szCs w:val="18"/>
                <w:u w:val="none"/>
                <w:bdr w:val="none" w:color="auto" w:sz="0" w:space="0"/>
                <w:lang w:val="en-US" w:eastAsia="zh-CN" w:bidi="ar"/>
              </w:rPr>
              <w:fldChar w:fldCharType="end"/>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第一学期</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32</w:t>
            </w:r>
          </w:p>
        </w:tc>
        <w:tc>
          <w:tcPr>
            <w:tcW w:w="1080" w:type="dxa"/>
            <w:tcBorders>
              <w:top w:val="nil"/>
              <w:left w:val="nil"/>
              <w:bottom w:val="single" w:color="336699" w:sz="8" w:space="0"/>
              <w:right w:val="single" w:color="336699" w:sz="8" w:space="0"/>
            </w:tcBorders>
            <w:shd w:val="clear" w:color="auto" w:fill="FFFFFF"/>
            <w:vAlign w:val="center"/>
          </w:tcPr>
          <w:p>
            <w:pPr>
              <w:keepNext w:val="0"/>
              <w:keepLines w:val="0"/>
              <w:widowControl/>
              <w:suppressLineNumbers w:val="0"/>
              <w:jc w:val="center"/>
              <w:textAlignment w:val="center"/>
              <w:rPr>
                <w:rFonts w:hint="default" w:ascii="Verdana" w:hAnsi="Verdana" w:eastAsia="宋体" w:cs="Verdana"/>
                <w:i w:val="0"/>
                <w:iCs w:val="0"/>
                <w:color w:val="auto"/>
                <w:sz w:val="18"/>
                <w:szCs w:val="18"/>
                <w:u w:val="none"/>
              </w:rPr>
            </w:pPr>
            <w:r>
              <w:rPr>
                <w:rFonts w:hint="default" w:ascii="Verdana" w:hAnsi="Verdana" w:eastAsia="宋体" w:cs="Verdana"/>
                <w:i w:val="0"/>
                <w:iCs w:val="0"/>
                <w:color w:val="auto"/>
                <w:kern w:val="0"/>
                <w:sz w:val="18"/>
                <w:szCs w:val="18"/>
                <w:u w:val="none"/>
                <w:bdr w:val="none" w:color="auto" w:sz="0" w:space="0"/>
                <w:lang w:val="en-US" w:eastAsia="zh-CN" w:bidi="ar"/>
              </w:rPr>
              <w:t>2</w:t>
            </w:r>
          </w:p>
        </w:tc>
      </w:tr>
    </w:tbl>
    <w:p>
      <w:pPr>
        <w:rPr>
          <w:rFonts w:hint="default"/>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MjRkODRjY2MyNDNmMWFiYmU3M2JkM2YzNTgyNzgifQ=="/>
  </w:docVars>
  <w:rsids>
    <w:rsidRoot w:val="1FEA1461"/>
    <w:rsid w:val="1FEA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2022-08-25T00:59:00Z</dcterms:created>
  <dc:creator>临床研究生培养 卢琰</dc:creator>
  <cp:lastModifiedBy>临床研究生培养 卢琰</cp:lastModifiedBy>
  <dcterms:modified xsi:type="dcterms:W3CDTF">2022-08-25T01:01:29Z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511F5A67AEA84E14B8A6C11DC12BE655</vt:lpwstr>
  </property>
</Properties>
</file>